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shd w:val="clear" w:color="auto" w:fill="FFFFFF"/>
          <w:lang w:eastAsia="es-ES_tradnl"/>
        </w:rPr>
        <w:t>Estimados Miembros,</w:t>
      </w:r>
    </w:p>
    <w:p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Asimismo, y como siempre, los invitamos especialmente a quienes puedan sumarse a la sede de la Asociación, sin perjuicio que las reuniones continúan con el formato híbrido.</w:t>
      </w:r>
    </w:p>
    <w:p w:rsidR="000071EC" w:rsidRPr="00842B27" w:rsidRDefault="000071EC" w:rsidP="000071EC">
      <w:pPr>
        <w:spacing w:after="160" w:line="330" w:lineRule="atLeast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color w:val="26282A"/>
          <w:shd w:val="clear" w:color="auto" w:fill="FFFFFF"/>
          <w:lang w:val="es-ES" w:eastAsia="es-ES_tradnl"/>
        </w:rPr>
        <w:t>El temario sugerido para esta reunión es el siguiente:</w:t>
      </w:r>
    </w:p>
    <w:p w:rsidR="000071EC" w:rsidRPr="00842B27" w:rsidRDefault="000071EC" w:rsidP="000071EC">
      <w:pPr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shd w:val="clear" w:color="auto" w:fill="FFFFFF"/>
          <w:lang w:eastAsia="es-ES_tradnl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shd w:val="clear" w:color="auto" w:fill="FFFFFF"/>
          <w:lang w:eastAsia="es-ES_tradnl"/>
        </w:rPr>
        <w:t> 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1.- Recurso de Repetición. Un supuesto adicional de pago a Requerimiento: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“Román, Gabriela”. CNCAF, Sala I. 12/03/2024.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lang w:eastAsia="es-AR"/>
        </w:rPr>
        <w:t>Comentarios a cargo del Dr. Fernando Diez.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2.-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Ampliación del plazo en razón de la distancia en procedimientos electrónicos. Tribunal Fiscal de la Nación. (</w:t>
      </w:r>
      <w:proofErr w:type="gram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pendiente</w:t>
      </w:r>
      <w:proofErr w:type="gram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de reunión anterior)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Dictamen MPF en “Aceros Cuyanos SA c/ Dirección General Impositiva s/ Recurso Directo De Organismo Externo”. CNCAF, Sala II. 26/02/2024.</w:t>
      </w:r>
    </w:p>
    <w:p w:rsidR="00842B27" w:rsidRPr="00842B27" w:rsidRDefault="00842B27" w:rsidP="00842B27">
      <w:pPr>
        <w:shd w:val="clear" w:color="auto" w:fill="FFFFFF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 la Dra. Silvina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Coronello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rPr>
          <w:rFonts w:ascii="Times New Roman" w:eastAsia="Times New Roman" w:hAnsi="Times New Roman" w:cs="Times New Roman"/>
          <w:color w:val="26282A"/>
          <w:lang w:eastAsia="es-AR"/>
        </w:rPr>
      </w:pPr>
    </w:p>
    <w:p w:rsidR="00842B27" w:rsidRPr="00842B27" w:rsidRDefault="00842B27" w:rsidP="00842B27">
      <w:pPr>
        <w:shd w:val="clear" w:color="auto" w:fill="FFFFFF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3.- Repetición. Devolución sumas pagadas por 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i/>
          <w:iCs/>
          <w:color w:val="26282A"/>
          <w:lang w:eastAsia="es-AR"/>
        </w:rPr>
        <w:t>solve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i/>
          <w:iCs/>
          <w:color w:val="26282A"/>
          <w:lang w:eastAsia="es-AR"/>
        </w:rPr>
        <w:t xml:space="preserve"> et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i/>
          <w:iCs/>
          <w:color w:val="26282A"/>
          <w:lang w:eastAsia="es-AR"/>
        </w:rPr>
        <w:t>repete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i/>
          <w:iCs/>
          <w:color w:val="26282A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o saldos a favor. Actualización  monetaria.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“Barrios, Héctor Francisco y otra contra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Lascano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, Sandra Beatriz y otra. Daños y perjuicios”. SCBA, 17/04/2024.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 la Dra. Silvina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Coronello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4.- La olvidada teoría de las correcciones simétricas: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“Minera Anglo Americana Argentina S.A.”. Cámara Federal de Mendoza. Sala B, 08/03/2024.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 xml:space="preserve">“Minera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>Perigrine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lang w:eastAsia="es-AR"/>
        </w:rPr>
        <w:t xml:space="preserve"> Argentina S.A.”. Cámara Federal de Mendoza, Sala A, 11/03/2024.</w:t>
      </w:r>
    </w:p>
    <w:p w:rsidR="00842B27" w:rsidRPr="00842B27" w:rsidRDefault="00842B27" w:rsidP="00842B27">
      <w:pPr>
        <w:rPr>
          <w:rFonts w:ascii="Times New Roman" w:eastAsia="Times New Roman" w:hAnsi="Times New Roman" w:cs="Times New Roman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lang w:eastAsia="es-AR"/>
        </w:rPr>
        <w:t>Comentarios a</w:t>
      </w:r>
      <w:r w:rsidRPr="00842B27">
        <w:rPr>
          <w:rFonts w:ascii="Times New Roman" w:eastAsia="Times New Roman" w:hAnsi="Times New Roman" w:cs="Times New Roman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i/>
          <w:iCs/>
          <w:lang w:eastAsia="es-AR"/>
        </w:rPr>
        <w:t xml:space="preserve">cargo del Dr. Carlos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lang w:eastAsia="es-AR"/>
        </w:rPr>
        <w:t>Tobio</w:t>
      </w:r>
      <w:proofErr w:type="spellEnd"/>
    </w:p>
    <w:p w:rsidR="00842B27" w:rsidRPr="00842B27" w:rsidRDefault="00842B27" w:rsidP="00842B27">
      <w:pPr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5.-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Acción de clase en procesos tributarios.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“Sociedad Rural Argentina y Otro c/ Estado Nacional”,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Cám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 Federal Córdoba, Sala B, 5/4/2024.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Comentarios a cargo del Dr. Diego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Vottero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6.-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La constitución de domicilio especial y la falta de objeción por notificación al domicilio fiscal electrónico.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“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Cofone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Jorge Amadeo”, TFN, Sala B, 12/12/2023.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Comentarios a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cargo del Dr. Claudio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Garcia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Sinagra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lastRenderedPageBreak/>
        <w:t>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7.- "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Canna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Melis SRL y otro c/Provincia de Córdoba- Plena Jurisdicción” Sentencia del TSJ de la Provincia de Córdoba- 22/2/2024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La importancia del procedimiento ante la fiscalización y la invalidación de la determinación sobre base presunta. Rechazo del ajuste fiscal. Declaración de nulidad de los actos administrativos de determinación de oficio.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Comentarios a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 xml:space="preserve">cargo de la Dra. Julieta </w:t>
      </w:r>
      <w:proofErr w:type="spellStart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Luchessi</w:t>
      </w:r>
      <w:proofErr w:type="spellEnd"/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bookmarkStart w:id="0" w:name="_GoBack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8.- Rechazo medida cautelar. Acción Declarativa. Provincia de Buenos Aires. 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Análisis de los requisitos de procedencia de medidas cautelares en planteo relativo a aumento de 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Impuesto Inmobiliario.</w:t>
      </w:r>
      <w:r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</w:t>
      </w:r>
    </w:p>
    <w:bookmarkEnd w:id="0"/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“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Arechavala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Agustín Julián y otros c/ Agencia de Recaudación de la provincia de Buenos Aires s/ pretensión declarativa”, Juzgado Contencioso Administrativo N° 1 de la Plata, 22/04/2024.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i/>
          <w:iCs/>
          <w:color w:val="26282A"/>
          <w:lang w:eastAsia="es-AR"/>
        </w:rPr>
        <w:t>Comentarios a cargo del Dr. Gerardo Vega.</w:t>
      </w:r>
    </w:p>
    <w:p w:rsidR="00842B27" w:rsidRPr="00842B27" w:rsidRDefault="00842B27" w:rsidP="00842B27">
      <w:pPr>
        <w:shd w:val="clear" w:color="auto" w:fill="FFFFFF"/>
        <w:spacing w:line="330" w:lineRule="atLeast"/>
        <w:ind w:left="709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9.-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Proyecto de Moratoria. Aspectos Generales.</w:t>
      </w:r>
    </w:p>
    <w:p w:rsidR="00842B27" w:rsidRPr="00842B27" w:rsidRDefault="00842B27" w:rsidP="00842B27">
      <w:pPr>
        <w:shd w:val="clear" w:color="auto" w:fill="FFFFFF"/>
        <w:spacing w:line="330" w:lineRule="atLeast"/>
        <w:ind w:left="720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  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10.-</w:t>
      </w:r>
      <w:r w:rsidRPr="00842B27">
        <w:rPr>
          <w:rFonts w:ascii="Times New Roman" w:eastAsia="Times New Roman" w:hAnsi="Times New Roman" w:cs="Times New Roman"/>
          <w:color w:val="26282A"/>
          <w:lang w:eastAsia="es-AR"/>
        </w:rPr>
        <w:t>   </w:t>
      </w: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Medida cautelar. Instancia originaria. Remisión a precedentes. Examen de requisitos de procedencia de las medidas cautelares. Disidencia del Dr.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Rosatti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.</w:t>
      </w:r>
    </w:p>
    <w:p w:rsidR="00842B27" w:rsidRPr="00842B27" w:rsidRDefault="00842B27" w:rsidP="00842B27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26282A"/>
          <w:lang w:eastAsia="es-AR"/>
        </w:rPr>
      </w:pPr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“Nueva </w:t>
      </w:r>
      <w:proofErr w:type="spellStart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>Chevallier</w:t>
      </w:r>
      <w:proofErr w:type="spellEnd"/>
      <w:r w:rsidRPr="00842B27">
        <w:rPr>
          <w:rFonts w:ascii="Times New Roman" w:eastAsia="Times New Roman" w:hAnsi="Times New Roman" w:cs="Times New Roman"/>
          <w:b/>
          <w:bCs/>
          <w:color w:val="26282A"/>
          <w:lang w:eastAsia="es-AR"/>
        </w:rPr>
        <w:t xml:space="preserve"> S.A. c/ La Pampa, Provincia de s/ acción declarativa de inconstitucionalidad.” CSJN, 30/04/2024.</w:t>
      </w:r>
    </w:p>
    <w:p w:rsidR="004F02D2" w:rsidRPr="00842B27" w:rsidRDefault="004F02D2" w:rsidP="00842B27">
      <w:pPr>
        <w:shd w:val="clear" w:color="auto" w:fill="FFFFFF"/>
        <w:spacing w:line="330" w:lineRule="atLeast"/>
        <w:ind w:left="720"/>
        <w:jc w:val="both"/>
        <w:rPr>
          <w:rFonts w:ascii="Times New Roman" w:hAnsi="Times New Roman" w:cs="Times New Roman"/>
        </w:rPr>
      </w:pPr>
    </w:p>
    <w:sectPr w:rsidR="004F02D2" w:rsidRPr="00842B27" w:rsidSect="00D9192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EC"/>
    <w:rsid w:val="000071EC"/>
    <w:rsid w:val="004F02D2"/>
    <w:rsid w:val="00842B27"/>
    <w:rsid w:val="00D9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1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1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600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413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0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94951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23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CERSOFIOS</dc:creator>
  <cp:lastModifiedBy>VAZQUEZ</cp:lastModifiedBy>
  <cp:revision>2</cp:revision>
  <dcterms:created xsi:type="dcterms:W3CDTF">2024-05-02T17:15:00Z</dcterms:created>
  <dcterms:modified xsi:type="dcterms:W3CDTF">2024-05-02T17:15:00Z</dcterms:modified>
</cp:coreProperties>
</file>